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F26551" w:rsidRPr="00F26551">
        <w:rPr>
          <w:rFonts w:ascii="GHEA Grapalat" w:hAnsi="GHEA Grapalat"/>
          <w:color w:val="FF0000"/>
          <w:sz w:val="24"/>
        </w:rPr>
        <w:t>2</w:t>
      </w:r>
      <w:r w:rsidR="00BB2B8F">
        <w:rPr>
          <w:rFonts w:ascii="GHEA Grapalat" w:hAnsi="GHEA Grapalat"/>
          <w:color w:val="FF0000"/>
          <w:sz w:val="24"/>
        </w:rPr>
        <w:t>8</w:t>
      </w:r>
      <w:r w:rsidR="00830352" w:rsidRPr="002732A6">
        <w:rPr>
          <w:rFonts w:ascii="GHEA Grapalat" w:hAnsi="GHEA Grapalat"/>
          <w:color w:val="FF0000"/>
          <w:sz w:val="24"/>
        </w:rPr>
        <w:t>.</w:t>
      </w:r>
      <w:r w:rsidR="00F26551">
        <w:rPr>
          <w:rFonts w:ascii="GHEA Grapalat" w:hAnsi="GHEA Grapalat"/>
          <w:color w:val="FF0000"/>
          <w:sz w:val="24"/>
        </w:rPr>
        <w:t>02.</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830352" w:rsidRPr="001519BF">
        <w:rPr>
          <w:rFonts w:ascii="GHEA Grapalat" w:hAnsi="GHEA Grapalat"/>
          <w:color w:val="FF0000"/>
          <w:sz w:val="24"/>
        </w:rPr>
        <w:t>HH PN NTAD</w:t>
      </w:r>
      <w:r w:rsidR="00BC411D">
        <w:rPr>
          <w:rFonts w:ascii="GHEA Grapalat" w:hAnsi="GHEA Grapalat"/>
          <w:color w:val="FF0000"/>
          <w:sz w:val="24"/>
        </w:rPr>
        <w:t>-</w:t>
      </w:r>
      <w:r w:rsidR="00510CBB" w:rsidRPr="001519BF">
        <w:rPr>
          <w:rFonts w:ascii="GHEA Grapalat" w:hAnsi="GHEA Grapalat"/>
          <w:color w:val="FF0000"/>
          <w:sz w:val="24"/>
        </w:rPr>
        <w:t>PNM</w:t>
      </w:r>
      <w:r w:rsidR="00BC411D" w:rsidRPr="001519BF">
        <w:rPr>
          <w:rFonts w:ascii="GHEA Grapalat" w:hAnsi="GHEA Grapalat"/>
          <w:color w:val="FF0000"/>
          <w:sz w:val="24"/>
        </w:rPr>
        <w:t>TSDZB</w:t>
      </w:r>
      <w:r w:rsidR="001519BF" w:rsidRPr="001519BF">
        <w:rPr>
          <w:rFonts w:ascii="GHEA Grapalat" w:hAnsi="GHEA Grapalat"/>
          <w:color w:val="FF0000"/>
          <w:sz w:val="24"/>
        </w:rPr>
        <w:t>-</w:t>
      </w:r>
      <w:r w:rsidR="002075EF">
        <w:rPr>
          <w:rFonts w:ascii="GHEA Grapalat" w:hAnsi="GHEA Grapalat"/>
          <w:color w:val="FF0000"/>
          <w:sz w:val="24"/>
        </w:rPr>
        <w:t>20-</w:t>
      </w:r>
      <w:r w:rsidR="00097DE9">
        <w:rPr>
          <w:rFonts w:ascii="GHEA Grapalat" w:hAnsi="GHEA Grapalat"/>
          <w:color w:val="FF0000"/>
          <w:sz w:val="24"/>
        </w:rPr>
        <w:t>10/8</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sz w:val="24"/>
        </w:rPr>
        <w:t>3.</w:t>
      </w:r>
      <w:r w:rsidRPr="0037225B">
        <w:rPr>
          <w:rFonts w:ascii="GHEA Grapalat" w:hAnsi="GHEA Grapalat"/>
          <w:sz w:val="24"/>
        </w:rPr>
        <w:tab/>
      </w:r>
      <w:r w:rsidR="0009597A" w:rsidRPr="0037225B">
        <w:rPr>
          <w:rFonts w:ascii="GHEA Grapalat" w:hAnsi="GHEA Grapalat"/>
          <w:sz w:val="24"/>
        </w:rPr>
        <w:t xml:space="preserve">A bidder intending to participate in the </w:t>
      </w:r>
      <w:r w:rsidR="0009597A" w:rsidRPr="009B180D">
        <w:rPr>
          <w:rFonts w:ascii="GHEA Grapalat" w:hAnsi="GHEA Grapalat"/>
        </w:rPr>
        <w:t xml:space="preserve">prequalification procedure must: </w:t>
      </w:r>
    </w:p>
    <w:p w:rsidR="006842CC" w:rsidRPr="009B180D" w:rsidRDefault="0037225B" w:rsidP="009B180D">
      <w:pPr>
        <w:pStyle w:val="ListParagraph1"/>
        <w:spacing w:after="0" w:line="360" w:lineRule="auto"/>
        <w:ind w:left="0" w:right="-2"/>
        <w:jc w:val="both"/>
        <w:rPr>
          <w:rFonts w:ascii="GHEA Grapalat" w:hAnsi="GHEA Grapalat"/>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137B62">
        <w:rPr>
          <w:rFonts w:ascii="GHEA Grapalat" w:hAnsi="GHEA Grapalat"/>
        </w:rPr>
        <w:t xml:space="preserve"> </w:t>
      </w:r>
      <w:r w:rsidR="00A37619">
        <w:rPr>
          <w:rFonts w:ascii="GHEA Grapalat" w:hAnsi="GHEA Grapalat"/>
        </w:rPr>
        <w:t>analogous</w:t>
      </w:r>
      <w:r w:rsidR="0009597A" w:rsidRPr="0037225B">
        <w:rPr>
          <w:rFonts w:ascii="GHEA Grapalat" w:hAnsi="GHEA Grapalat"/>
        </w:rPr>
        <w:t xml:space="preserve">. </w:t>
      </w:r>
      <w:proofErr w:type="gramStart"/>
      <w:r w:rsidR="006842CC" w:rsidRPr="006842CC">
        <w:rPr>
          <w:rFonts w:ascii="GHEA Grapalat" w:hAnsi="GHEA Grapalat"/>
        </w:rPr>
        <w:t xml:space="preserve">-“Residential, public, industrial”, </w:t>
      </w:r>
      <w:r w:rsidR="008F15C9">
        <w:rPr>
          <w:rFonts w:ascii="GHEA Grapalat" w:eastAsia="Times New Roman" w:hAnsi="GHEA Grapalat"/>
          <w:sz w:val="24"/>
          <w:szCs w:val="24"/>
          <w:lang w:val="en-GB" w:eastAsia="en-GB"/>
        </w:rPr>
        <w:t>“Energy”</w:t>
      </w:r>
      <w:r w:rsidR="008F15C9">
        <w:rPr>
          <w:rFonts w:ascii="GHEA Grapalat" w:eastAsia="Times New Roman" w:hAnsi="GHEA Grapalat"/>
          <w:sz w:val="24"/>
          <w:szCs w:val="24"/>
          <w:lang w:val="en-GB" w:eastAsia="en-GB"/>
        </w:rPr>
        <w:t>.</w:t>
      </w:r>
      <w:proofErr w:type="gramEnd"/>
    </w:p>
    <w:p w:rsidR="00BB2B8F" w:rsidRPr="006842CC" w:rsidRDefault="00D23F9B" w:rsidP="00BB2B8F">
      <w:pPr>
        <w:pStyle w:val="ListParagraph1"/>
        <w:spacing w:after="0" w:line="360" w:lineRule="auto"/>
        <w:ind w:left="-142" w:right="-2" w:hanging="522"/>
        <w:rPr>
          <w:rFonts w:ascii="GHEA Grapalat" w:eastAsia="Times New Roman" w:hAnsi="GHEA Grapalat"/>
          <w:sz w:val="24"/>
          <w:szCs w:val="24"/>
          <w:highlight w:val="yellow"/>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w:t>
      </w:r>
      <w:r w:rsidR="0009597A" w:rsidRPr="0037225B">
        <w:rPr>
          <w:rFonts w:ascii="GHEA Grapalat" w:hAnsi="GHEA Grapalat"/>
          <w:i w:val="0"/>
          <w:sz w:val="24"/>
        </w:rPr>
        <w:lastRenderedPageBreak/>
        <w:t xml:space="preserve">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lastRenderedPageBreak/>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lastRenderedPageBreak/>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4D59DD">
        <w:rPr>
          <w:rFonts w:ascii="GHEA Grapalat" w:hAnsi="GHEA Grapalat"/>
          <w:i/>
          <w:color w:val="FF0000"/>
          <w:szCs w:val="20"/>
        </w:rPr>
        <w:t>19</w:t>
      </w:r>
      <w:r w:rsidR="00C973AE" w:rsidRPr="00C973AE">
        <w:rPr>
          <w:rFonts w:ascii="GHEA Grapalat" w:hAnsi="GHEA Grapalat"/>
          <w:i/>
          <w:color w:val="FF0000"/>
          <w:szCs w:val="20"/>
        </w:rPr>
        <w:t>.</w:t>
      </w:r>
      <w:r w:rsidR="004D59DD">
        <w:rPr>
          <w:rFonts w:ascii="GHEA Grapalat" w:hAnsi="GHEA Grapalat"/>
          <w:i/>
          <w:color w:val="FF0000"/>
          <w:szCs w:val="20"/>
        </w:rPr>
        <w:t>03</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097DE9">
        <w:rPr>
          <w:rFonts w:ascii="GHEA Grapalat" w:hAnsi="GHEA Grapalat"/>
          <w:i/>
          <w:color w:val="FF0000"/>
          <w:szCs w:val="20"/>
        </w:rPr>
        <w:t>12</w:t>
      </w:r>
      <w:r w:rsidR="00C973AE" w:rsidRPr="00C973AE">
        <w:rPr>
          <w:rFonts w:ascii="GHEA Grapalat" w:hAnsi="GHEA Grapalat"/>
          <w:i/>
          <w:color w:val="FF0000"/>
          <w:szCs w:val="20"/>
        </w:rPr>
        <w:t>:</w:t>
      </w:r>
      <w:r w:rsidR="00097DE9">
        <w:rPr>
          <w:rFonts w:ascii="GHEA Grapalat" w:hAnsi="GHEA Grapalat"/>
          <w:i/>
          <w:color w:val="FF0000"/>
          <w:szCs w:val="20"/>
        </w:rPr>
        <w:t>0</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097DE9">
        <w:rPr>
          <w:rFonts w:ascii="GHEA Grapalat" w:hAnsi="GHEA Grapalat"/>
          <w:i/>
          <w:color w:val="FF0000"/>
        </w:rPr>
        <w:t>12</w:t>
      </w:r>
      <w:r w:rsidR="00CC4789">
        <w:rPr>
          <w:rFonts w:ascii="GHEA Grapalat" w:hAnsi="GHEA Grapalat"/>
          <w:i/>
          <w:color w:val="FF0000"/>
        </w:rPr>
        <w:t>:</w:t>
      </w:r>
      <w:r w:rsidR="00097DE9">
        <w:rPr>
          <w:rFonts w:ascii="GHEA Grapalat" w:hAnsi="GHEA Grapalat"/>
          <w:i/>
          <w:color w:val="FF0000"/>
        </w:rPr>
        <w:t>0</w:t>
      </w:r>
      <w:bookmarkStart w:id="0" w:name="_GoBack"/>
      <w:bookmarkEnd w:id="0"/>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CC4789">
        <w:rPr>
          <w:rFonts w:ascii="GHEA Grapalat" w:hAnsi="GHEA Grapalat"/>
          <w:i/>
          <w:color w:val="FF0000"/>
        </w:rPr>
        <w:t>19</w:t>
      </w:r>
      <w:r w:rsidR="009D5054" w:rsidRPr="00826792">
        <w:rPr>
          <w:rFonts w:ascii="GHEA Grapalat" w:hAnsi="GHEA Grapalat"/>
          <w:i/>
          <w:color w:val="FF0000"/>
        </w:rPr>
        <w:t>.</w:t>
      </w:r>
      <w:r w:rsidR="00CC4789">
        <w:rPr>
          <w:rFonts w:ascii="GHEA Grapalat" w:hAnsi="GHEA Grapalat"/>
          <w:i/>
          <w:color w:val="FF0000"/>
        </w:rPr>
        <w:t>03</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D13533">
        <w:rPr>
          <w:rFonts w:ascii="GHEA Grapalat" w:hAnsi="GHEA Grapalat"/>
        </w:rPr>
        <w:t xml:space="preserve">the </w:t>
      </w:r>
      <w:r w:rsidRPr="00994902">
        <w:rPr>
          <w:rFonts w:ascii="GHEA Grapalat" w:hAnsi="GHEA Grapalat"/>
        </w:rPr>
        <w:t xml:space="preserve">commission the original of the </w:t>
      </w:r>
      <w:r w:rsidR="00AE158D">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AE158D">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AE158D">
        <w:rPr>
          <w:rFonts w:ascii="GHEA Grapalat" w:hAnsi="GHEA Grapalat"/>
        </w:rPr>
        <w:t>letter of</w:t>
      </w:r>
      <w:r w:rsidR="00AE158D"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 xml:space="preserve">the information containing state secret and the conditions for filling </w:t>
      </w:r>
      <w:r w:rsidR="00D13533">
        <w:rPr>
          <w:rFonts w:ascii="GHEA Grapalat" w:hAnsi="GHEA Grapalat"/>
        </w:rPr>
        <w:t xml:space="preserve">them </w:t>
      </w:r>
      <w:r w:rsidRPr="00994902">
        <w:rPr>
          <w:rFonts w:ascii="GHEA Grapalat" w:hAnsi="GHEA Grapalat"/>
        </w:rPr>
        <w:t>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The </w:t>
      </w:r>
      <w:r w:rsidR="00AE158D" w:rsidRPr="00994902">
        <w:rPr>
          <w:rFonts w:ascii="GHEA Grapalat" w:hAnsi="GHEA Grapalat"/>
        </w:rPr>
        <w:t>prequalified</w:t>
      </w:r>
      <w:r w:rsidRPr="00994902">
        <w:rPr>
          <w:rFonts w:ascii="GHEA Grapalat" w:hAnsi="GHEA Grapalat"/>
        </w:rPr>
        <w:t xml:space="preserve"> bidders shall </w:t>
      </w:r>
      <w:r w:rsidR="00D13533">
        <w:rPr>
          <w:rFonts w:ascii="GHEA Grapalat" w:hAnsi="GHEA Grapalat"/>
        </w:rPr>
        <w:t>confirm</w:t>
      </w:r>
      <w:r w:rsidR="00D13533"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the commission the original of the </w:t>
      </w:r>
      <w:r w:rsidR="00AE158D">
        <w:rPr>
          <w:rFonts w:ascii="GHEA Grapalat" w:hAnsi="GHEA Grapalat"/>
        </w:rPr>
        <w:t>letter of</w:t>
      </w:r>
      <w:r w:rsidR="00AE158D"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D13533">
        <w:rPr>
          <w:rFonts w:ascii="GHEA Grapalat" w:hAnsi="GHEA Grapalat"/>
        </w:rPr>
        <w:t>to</w:t>
      </w:r>
      <w:r w:rsidRPr="00994902">
        <w:rPr>
          <w:rFonts w:ascii="GHEA Grapalat" w:hAnsi="GHEA Grapalat"/>
        </w:rPr>
        <w:t xml:space="preserve"> recei</w:t>
      </w:r>
      <w:r w:rsidR="00D13533">
        <w:rPr>
          <w:rFonts w:ascii="GHEA Grapalat" w:hAnsi="GHEA Grapalat"/>
        </w:rPr>
        <w:t>ve</w:t>
      </w:r>
      <w:r w:rsidRPr="00994902">
        <w:rPr>
          <w:rFonts w:ascii="GHEA Grapalat" w:hAnsi="GHEA Grapalat"/>
        </w:rPr>
        <w:t xml:space="preserve"> the invitation and</w:t>
      </w:r>
      <w:r w:rsidR="00D13533">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D13533">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00D13533">
        <w:rPr>
          <w:rFonts w:ascii="GHEA Grapalat" w:hAnsi="GHEA Grapalat"/>
        </w:rPr>
        <w:t xml:space="preserve"> by</w:t>
      </w:r>
      <w:r w:rsidR="00151D9A" w:rsidRPr="00994902">
        <w:rPr>
          <w:rFonts w:ascii="GHEA Grapalat" w:hAnsi="GHEA Grapalat"/>
        </w:rPr>
        <w:t xml:space="preserve"> </w:t>
      </w:r>
      <w:r w:rsidRPr="00994902">
        <w:rPr>
          <w:rFonts w:ascii="GHEA Grapalat" w:hAnsi="GHEA Grapalat"/>
        </w:rPr>
        <w:t>indicati</w:t>
      </w:r>
      <w:r w:rsidR="00D13533">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lastRenderedPageBreak/>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097DE9">
        <w:rPr>
          <w:rFonts w:ascii="GHEA Grapalat" w:hAnsi="GHEA Grapalat"/>
          <w:i/>
          <w:color w:val="FF0000"/>
          <w:sz w:val="24"/>
        </w:rPr>
        <w:t>10/8</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0964C8" w:rsidRPr="00EF7A5C">
        <w:rPr>
          <w:rFonts w:ascii="GHEA Grapalat" w:hAnsi="GHEA Grapalat"/>
          <w:i/>
          <w:color w:val="FF0000"/>
          <w:szCs w:val="20"/>
        </w:rPr>
        <w:t>HH PN NTAD</w:t>
      </w:r>
      <w:r w:rsidR="000964C8" w:rsidRPr="00EF7A5C">
        <w:rPr>
          <w:rFonts w:ascii="GHEA Grapalat" w:hAnsi="GHEA Grapalat"/>
          <w:i/>
          <w:color w:val="FF0000"/>
        </w:rPr>
        <w:t>-PNMTSDZB</w:t>
      </w:r>
      <w:r w:rsidR="000964C8" w:rsidRPr="00EF7A5C">
        <w:rPr>
          <w:rFonts w:ascii="GHEA Grapalat" w:hAnsi="GHEA Grapalat"/>
          <w:i/>
          <w:color w:val="FF0000"/>
          <w:szCs w:val="20"/>
        </w:rPr>
        <w:t>-</w:t>
      </w:r>
      <w:r w:rsidR="002075EF">
        <w:rPr>
          <w:rFonts w:ascii="GHEA Grapalat" w:hAnsi="GHEA Grapalat"/>
          <w:i/>
          <w:color w:val="FF0000"/>
          <w:szCs w:val="20"/>
        </w:rPr>
        <w:t>20-</w:t>
      </w:r>
      <w:r w:rsidR="00097DE9">
        <w:rPr>
          <w:rFonts w:ascii="GHEA Grapalat" w:hAnsi="GHEA Grapalat"/>
          <w:i/>
          <w:color w:val="FF0000"/>
          <w:szCs w:val="20"/>
        </w:rPr>
        <w:t>10/8</w:t>
      </w:r>
      <w:r w:rsidR="00DB1A6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F7A5C" w:rsidRPr="00EF7A5C">
        <w:rPr>
          <w:rFonts w:ascii="GHEA Grapalat" w:hAnsi="GHEA Grapalat"/>
          <w:i/>
          <w:color w:val="FF0000"/>
          <w:sz w:val="24"/>
        </w:rPr>
        <w:t>HH PN NTAD-PNMTSDZB-</w:t>
      </w:r>
      <w:r w:rsidR="002075EF">
        <w:rPr>
          <w:rFonts w:ascii="GHEA Grapalat" w:hAnsi="GHEA Grapalat"/>
          <w:i/>
          <w:color w:val="FF0000"/>
          <w:sz w:val="24"/>
        </w:rPr>
        <w:t>20-</w:t>
      </w:r>
      <w:r w:rsidR="00097DE9">
        <w:rPr>
          <w:rFonts w:ascii="GHEA Grapalat" w:hAnsi="GHEA Grapalat"/>
          <w:i/>
          <w:color w:val="FF0000"/>
          <w:sz w:val="24"/>
        </w:rPr>
        <w:t>10/8</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0B" w:rsidRDefault="00C9710B">
      <w:r>
        <w:separator/>
      </w:r>
    </w:p>
  </w:endnote>
  <w:endnote w:type="continuationSeparator" w:id="0">
    <w:p w:rsidR="00C9710B" w:rsidRDefault="00C9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97DE9">
          <w:rPr>
            <w:rFonts w:ascii="GHEA Grapalat" w:hAnsi="GHEA Grapalat"/>
            <w:noProof/>
            <w:sz w:val="24"/>
            <w:szCs w:val="24"/>
          </w:rPr>
          <w:t>7</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0B" w:rsidRDefault="00C9710B">
      <w:r>
        <w:separator/>
      </w:r>
    </w:p>
  </w:footnote>
  <w:footnote w:type="continuationSeparator" w:id="0">
    <w:p w:rsidR="00C9710B" w:rsidRDefault="00C97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097DE9"/>
    <w:rsid w:val="001131AB"/>
    <w:rsid w:val="00125981"/>
    <w:rsid w:val="00137B62"/>
    <w:rsid w:val="00146022"/>
    <w:rsid w:val="00151462"/>
    <w:rsid w:val="001519BF"/>
    <w:rsid w:val="00151D9A"/>
    <w:rsid w:val="001556D0"/>
    <w:rsid w:val="0018648E"/>
    <w:rsid w:val="0019678B"/>
    <w:rsid w:val="001A69EF"/>
    <w:rsid w:val="001C2BA6"/>
    <w:rsid w:val="001C42DF"/>
    <w:rsid w:val="001F576C"/>
    <w:rsid w:val="00207229"/>
    <w:rsid w:val="002075EF"/>
    <w:rsid w:val="00207C76"/>
    <w:rsid w:val="00217FBC"/>
    <w:rsid w:val="002242AA"/>
    <w:rsid w:val="002464C3"/>
    <w:rsid w:val="00272187"/>
    <w:rsid w:val="002A1057"/>
    <w:rsid w:val="002F6C55"/>
    <w:rsid w:val="00300C05"/>
    <w:rsid w:val="00307061"/>
    <w:rsid w:val="0031281C"/>
    <w:rsid w:val="00360101"/>
    <w:rsid w:val="0037225B"/>
    <w:rsid w:val="00393FBD"/>
    <w:rsid w:val="003957C5"/>
    <w:rsid w:val="003A6997"/>
    <w:rsid w:val="003C0495"/>
    <w:rsid w:val="003C7CF1"/>
    <w:rsid w:val="003D59D5"/>
    <w:rsid w:val="003E2085"/>
    <w:rsid w:val="00404D33"/>
    <w:rsid w:val="00405984"/>
    <w:rsid w:val="00453A37"/>
    <w:rsid w:val="004629D6"/>
    <w:rsid w:val="0046548E"/>
    <w:rsid w:val="004A1DA5"/>
    <w:rsid w:val="004C1CDE"/>
    <w:rsid w:val="004C3756"/>
    <w:rsid w:val="004D467F"/>
    <w:rsid w:val="004D59DD"/>
    <w:rsid w:val="004F7394"/>
    <w:rsid w:val="00506541"/>
    <w:rsid w:val="00506652"/>
    <w:rsid w:val="00510CBB"/>
    <w:rsid w:val="00542029"/>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539FA"/>
    <w:rsid w:val="0066731E"/>
    <w:rsid w:val="006842CC"/>
    <w:rsid w:val="00695181"/>
    <w:rsid w:val="006A0FB1"/>
    <w:rsid w:val="006A3529"/>
    <w:rsid w:val="006B0504"/>
    <w:rsid w:val="006B144E"/>
    <w:rsid w:val="006C118A"/>
    <w:rsid w:val="006D625A"/>
    <w:rsid w:val="006F7C5D"/>
    <w:rsid w:val="00705CDC"/>
    <w:rsid w:val="00725EFD"/>
    <w:rsid w:val="007351FA"/>
    <w:rsid w:val="00740597"/>
    <w:rsid w:val="00743B51"/>
    <w:rsid w:val="00753146"/>
    <w:rsid w:val="00753649"/>
    <w:rsid w:val="00755429"/>
    <w:rsid w:val="00755A9B"/>
    <w:rsid w:val="00761D09"/>
    <w:rsid w:val="00771678"/>
    <w:rsid w:val="007A05C6"/>
    <w:rsid w:val="007A244B"/>
    <w:rsid w:val="007D2343"/>
    <w:rsid w:val="007F44F8"/>
    <w:rsid w:val="00800E79"/>
    <w:rsid w:val="00805AAC"/>
    <w:rsid w:val="00824085"/>
    <w:rsid w:val="00830352"/>
    <w:rsid w:val="00833A32"/>
    <w:rsid w:val="00847921"/>
    <w:rsid w:val="00856B32"/>
    <w:rsid w:val="008B0B62"/>
    <w:rsid w:val="008B2B1B"/>
    <w:rsid w:val="008C1E8C"/>
    <w:rsid w:val="008C3A9A"/>
    <w:rsid w:val="008E3B37"/>
    <w:rsid w:val="008F15C9"/>
    <w:rsid w:val="00920686"/>
    <w:rsid w:val="00927EA8"/>
    <w:rsid w:val="00934167"/>
    <w:rsid w:val="00976B2D"/>
    <w:rsid w:val="0098015D"/>
    <w:rsid w:val="00984166"/>
    <w:rsid w:val="0098751F"/>
    <w:rsid w:val="0099220E"/>
    <w:rsid w:val="009922EB"/>
    <w:rsid w:val="00994902"/>
    <w:rsid w:val="009B0A20"/>
    <w:rsid w:val="009B180D"/>
    <w:rsid w:val="009C2988"/>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4C72"/>
    <w:rsid w:val="00A87CE2"/>
    <w:rsid w:val="00A96754"/>
    <w:rsid w:val="00AC0850"/>
    <w:rsid w:val="00AE158D"/>
    <w:rsid w:val="00AE3F3D"/>
    <w:rsid w:val="00AE6232"/>
    <w:rsid w:val="00B05DD9"/>
    <w:rsid w:val="00B1079F"/>
    <w:rsid w:val="00B12716"/>
    <w:rsid w:val="00B15716"/>
    <w:rsid w:val="00B22024"/>
    <w:rsid w:val="00B42EAD"/>
    <w:rsid w:val="00B5183B"/>
    <w:rsid w:val="00B51D48"/>
    <w:rsid w:val="00B60A8B"/>
    <w:rsid w:val="00B67A7F"/>
    <w:rsid w:val="00B70227"/>
    <w:rsid w:val="00B824E5"/>
    <w:rsid w:val="00B82550"/>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10B"/>
    <w:rsid w:val="00C973AE"/>
    <w:rsid w:val="00CB07B0"/>
    <w:rsid w:val="00CB7823"/>
    <w:rsid w:val="00CC4789"/>
    <w:rsid w:val="00D003F0"/>
    <w:rsid w:val="00D0461B"/>
    <w:rsid w:val="00D050AF"/>
    <w:rsid w:val="00D120E2"/>
    <w:rsid w:val="00D13533"/>
    <w:rsid w:val="00D21C89"/>
    <w:rsid w:val="00D23F9B"/>
    <w:rsid w:val="00D27089"/>
    <w:rsid w:val="00D307B7"/>
    <w:rsid w:val="00D3310B"/>
    <w:rsid w:val="00D62699"/>
    <w:rsid w:val="00D82BFC"/>
    <w:rsid w:val="00D90A90"/>
    <w:rsid w:val="00D95267"/>
    <w:rsid w:val="00DA7ADD"/>
    <w:rsid w:val="00DB1A69"/>
    <w:rsid w:val="00DF3F27"/>
    <w:rsid w:val="00E039B2"/>
    <w:rsid w:val="00E34E6B"/>
    <w:rsid w:val="00E351DE"/>
    <w:rsid w:val="00E672F0"/>
    <w:rsid w:val="00E71802"/>
    <w:rsid w:val="00E71D0E"/>
    <w:rsid w:val="00E83DE8"/>
    <w:rsid w:val="00E85CD8"/>
    <w:rsid w:val="00EB0DA1"/>
    <w:rsid w:val="00EC3EFF"/>
    <w:rsid w:val="00EC6807"/>
    <w:rsid w:val="00EF7A5C"/>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379E-F7BF-4F7B-A2EC-77478EB6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2517</Words>
  <Characters>14349</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127</cp:revision>
  <cp:lastPrinted>2017-05-26T08:33:00Z</cp:lastPrinted>
  <dcterms:created xsi:type="dcterms:W3CDTF">2017-07-18T11:58:00Z</dcterms:created>
  <dcterms:modified xsi:type="dcterms:W3CDTF">2020-03-03T12:45:00Z</dcterms:modified>
</cp:coreProperties>
</file>